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autoSpaceDN/>
        <w:bidi w:val="0"/>
        <w:spacing w:line="500" w:lineRule="exact"/>
        <w:jc w:val="center"/>
        <w:rPr>
          <w:rFonts w:hint="eastAsia" w:ascii="仿宋" w:hAnsi="仿宋" w:eastAsia="仿宋" w:cs="仿宋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sz w:val="52"/>
          <w:szCs w:val="52"/>
          <w:lang w:val="en-US" w:eastAsia="zh-CN"/>
        </w:rPr>
        <w:t>邢塘街道脱贫攻坚大事记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-146050</wp:posOffset>
            </wp:positionH>
            <wp:positionV relativeFrom="paragraph">
              <wp:posOffset>2008505</wp:posOffset>
            </wp:positionV>
            <wp:extent cx="2661920" cy="1981200"/>
            <wp:effectExtent l="4445" t="4445" r="19685" b="52705"/>
            <wp:wrapSquare wrapText="bothSides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邢塘街道地处临泉县城区东部，面积38平方千米，街道办事处成立于2016年，辖区内含经济开区、临庐产业园两个园区和10个社区，为加快城镇化发展，落实城镇体系规划要求，做大做强县城、做美做精街道，为支持县城的发展，2021年邢塘街道又调整为12个社区，总人口5.5万人，是临泉县城市发展区的重要组成部分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已出列贫困村1个，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现有建档立卡脱贫贫困户1895户4184人。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72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2014—2020年共脱贫1941户、4249人，贫困发生率由2014年的6.65%至2020年降至0（2014、2015年脱贫353户，910人；2016年街道共脱贫355户，837人，贫困村刘桥社区出列；2017年实现脱贫578户，1211人；2018年脱贫344户，676人；2019年脱贫261户，503人；2020年脱贫50户，112人，实现街道贫困户全部脱贫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562" w:firstLineChars="200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2041525</wp:posOffset>
            </wp:positionH>
            <wp:positionV relativeFrom="paragraph">
              <wp:posOffset>840740</wp:posOffset>
            </wp:positionV>
            <wp:extent cx="3522980" cy="2642870"/>
            <wp:effectExtent l="0" t="0" r="1270" b="5080"/>
            <wp:wrapSquare wrapText="bothSides"/>
            <wp:docPr id="3" name="图片 3" descr="王雷主任走访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王雷主任走访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2980" cy="264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教育有保障：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t>2014-2020年合计申报雨露计划补贴9次，享受368人，资金总额55.2万元；2014-2020年落实学前至高中教育阶段教育资助2090人次，补贴资金119.33625万元。有效阻断因学致贫和因贫失学辍学，目前无一人辍学，达到控辍保学的目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00" w:lineRule="exact"/>
        <w:ind w:firstLine="643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全面拆除危房：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按照危房不住人，住人无危房标准要求，实施危房清零行动，在街道范围内对D类危房进行摸排，172户独居老人被其子女接到安全住所，实现老有所居。2014-2019年，我街道共计实施危房改造107户（其中2017以来重建54户，修缮15户），补贴资金208.119万元。奖补资金已全部足额发放到户，有力保障了群众住房安全，目前无一户居住危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00" w:lineRule="exact"/>
        <w:ind w:firstLine="643" w:firstLineChars="200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实现医疗、养老全覆盖：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t>为2016年以来的全部贫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困户代缴新农合、“351.180”报补，帮助签约家庭医生、慢性病救助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t>综合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保障，对有诊疗需求的贫困人口应签尽签，对无诊疗需求的不予签订或是解除家庭医生签约；积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t xml:space="preserve">极推进农村最低生活保障制度与扶贫开发政策有效衔接，狠抓农村五保、低保、残疾人、孤儿等特困人口动态管理，全面落实优抚保障政策。共有低保户581户1024人，其中贫困户478户824人，其它重病户、残疾户、边缘户103户200人。残疾人近三年经8次动态调整扩面，新增低保户211户，408人，目前共有残疾人1664人，每年补贴89.672万元，有效保障了特殊人群生活问题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00" w:lineRule="exact"/>
        <w:ind w:firstLine="640" w:firstLineChars="200"/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227965</wp:posOffset>
            </wp:positionV>
            <wp:extent cx="2695575" cy="2021840"/>
            <wp:effectExtent l="0" t="0" r="9525" b="16510"/>
            <wp:wrapSquare wrapText="bothSides"/>
            <wp:docPr id="1" name="图片 1" descr="21212d10f4f81ac30b1bf0ab495b3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212d10f4f81ac30b1bf0ab495b36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02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建立扶</w:t>
      </w:r>
      <w:r>
        <w:rPr>
          <w:rFonts w:hint="eastAsia" w:ascii="仿宋" w:hAnsi="仿宋" w:eastAsia="仿宋" w:cs="仿宋"/>
          <w:b/>
          <w:sz w:val="36"/>
          <w:szCs w:val="36"/>
        </w:rPr>
        <w:t>贫车间：</w:t>
      </w:r>
      <w:r>
        <w:rPr>
          <w:rFonts w:hint="eastAsia" w:ascii="仿宋" w:hAnsi="仿宋" w:eastAsia="仿宋" w:cs="仿宋"/>
          <w:color w:val="auto"/>
          <w:sz w:val="36"/>
          <w:szCs w:val="36"/>
          <w:lang w:eastAsia="zh-CN"/>
        </w:rPr>
        <w:t>街道投资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建设扶贫车间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6000平方米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，2017年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3月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扶贫车间投入使用</w:t>
      </w:r>
      <w:r>
        <w:rPr>
          <w:rFonts w:hint="eastAsia" w:ascii="仿宋" w:hAnsi="仿宋" w:eastAsia="仿宋" w:cs="仿宋"/>
          <w:color w:val="auto"/>
          <w:sz w:val="36"/>
          <w:szCs w:val="36"/>
          <w:lang w:eastAsia="zh-CN"/>
        </w:rPr>
        <w:t>，</w:t>
      </w:r>
      <w:r>
        <w:rPr>
          <w:rFonts w:hint="eastAsia" w:ascii="仿宋" w:hAnsi="仿宋" w:eastAsia="仿宋" w:cs="仿宋"/>
          <w:sz w:val="36"/>
          <w:szCs w:val="36"/>
        </w:rPr>
        <w:t>年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均</w:t>
      </w:r>
      <w:r>
        <w:rPr>
          <w:rFonts w:hint="eastAsia" w:ascii="仿宋" w:hAnsi="仿宋" w:eastAsia="仿宋" w:cs="仿宋"/>
          <w:sz w:val="36"/>
          <w:szCs w:val="36"/>
        </w:rPr>
        <w:t>收益租金45.6万元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带动</w:t>
      </w:r>
      <w:r>
        <w:rPr>
          <w:rFonts w:hint="eastAsia" w:ascii="仿宋" w:hAnsi="仿宋" w:eastAsia="仿宋" w:cs="仿宋"/>
          <w:color w:val="auto"/>
          <w:sz w:val="36"/>
          <w:szCs w:val="36"/>
          <w:lang w:eastAsia="zh-CN"/>
        </w:rPr>
        <w:t>村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集体经济发展和贫困户增收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lang w:val="en-US" w:eastAsia="zh-CN"/>
        </w:rPr>
        <w:t>2018-2020年扶贫车间共吸纳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贫困户就业共35人次。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00" w:lineRule="exact"/>
        <w:ind w:firstLine="643" w:firstLineChars="200"/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highlight w:val="none"/>
          <w:lang w:eastAsia="zh-CN"/>
        </w:rPr>
        <w:t>建设光伏电站：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</w:rPr>
        <w:t>邢塘街道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val="en-US" w:eastAsia="zh-CN"/>
        </w:rPr>
        <w:t>2017年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</w:rPr>
        <w:t>利用标准厂房楼顶，集中建设光伏电站，同时鼓励贫困户自建光伏电站，实现受益贫困户家庭年均增收3000元左右。邢塘街道办现有光伏电站6座，分别是两个独立户用电站、刘桥社区48kw、12kw、户户联建201kw、2017年年度建设841kw电站，另有684户贫困户享受虚拟光伏补贴。通过光伏扶贫，实现带动753户贫困户增收。</w:t>
      </w:r>
    </w:p>
    <w:p>
      <w:pPr>
        <w:ind w:firstLine="723" w:firstLineChars="200"/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kern w:val="2"/>
          <w:sz w:val="36"/>
          <w:szCs w:val="36"/>
          <w:lang w:val="en-US" w:eastAsia="zh-CN" w:bidi="ar-SA"/>
        </w:rPr>
        <w:t>建设文化广场：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val="en-US" w:eastAsia="zh-CN"/>
        </w:rPr>
        <w:t>2017年6月贫因村刘桥村在张小庄建设第一个文化广场、小公园，2018年建设刘桥村文化广场，配套健身器材，极大地丰富了群众的业余生活。2017年牛庄文化广场的修建，组建了第一支农民文娱宣传队，把农户引向乡村舞台，利用饭后闲余时间、节假日等自娱自乐。随后各社区陆续建设文化广场，文化广场安装了路灯、健身器材、LED显示屏等。广场每天活动频繁，每天都有群众到广场健身、跳舞、观看红色电影等，群众过上了充实幸福的生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N/>
        <w:bidi w:val="0"/>
        <w:spacing w:line="500" w:lineRule="exact"/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kern w:val="2"/>
          <w:sz w:val="36"/>
          <w:szCs w:val="36"/>
          <w:lang w:val="en-US" w:eastAsia="zh-CN" w:bidi="ar-SA"/>
        </w:rPr>
        <w:t>建设社区</w:t>
      </w:r>
      <w:r>
        <w:rPr>
          <w:rFonts w:hint="eastAsia" w:ascii="仿宋" w:hAnsi="仿宋" w:eastAsia="仿宋" w:cs="仿宋"/>
          <w:b/>
          <w:kern w:val="2"/>
          <w:sz w:val="36"/>
          <w:szCs w:val="36"/>
          <w:lang w:val="en-US" w:eastAsia="zh-CN" w:bidi="ar-SA"/>
        </w:rPr>
        <w:t>扶贫驿站：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刘桥社区在党群服务中心建设扶贫驿站，分扶贫、扶志、扶智三个区域，激发贫困户内生动力，从根本上改变贫困户“等靠要”的思想，列出了环境整洁卡、政策明白卡、户档齐全卡、群策群力卡、文明新风卡。投入资金，为群众兑换物品。2018年在帮扶单位省纪委和临泉农商银行的帮助下，协调资金141万元，着手建设农副产品展示厅（易风塘），于2019年4月建成，增加村集体收入6万元。同时，提倡移风易俗，推动精神文明建设，鼓励群众婚事新办、丧事简办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  <w:highlight w:val="non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457835</wp:posOffset>
            </wp:positionH>
            <wp:positionV relativeFrom="paragraph">
              <wp:posOffset>258445</wp:posOffset>
            </wp:positionV>
            <wp:extent cx="3356610" cy="2517775"/>
            <wp:effectExtent l="0" t="0" r="15240" b="15875"/>
            <wp:wrapTopAndBottom/>
            <wp:docPr id="19" name="图片 19" descr="微信图片_20180529095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微信图片_2018052909582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56610" cy="251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Cs/>
          <w:kern w:val="0"/>
          <w:sz w:val="24"/>
          <w:szCs w:val="24"/>
          <w:highlight w:val="none"/>
          <w:lang w:eastAsia="zh-CN"/>
        </w:rPr>
        <w:t>（图片为</w:t>
      </w:r>
      <w:r>
        <w:rPr>
          <w:rFonts w:hint="eastAsia" w:ascii="仿宋" w:hAnsi="仿宋" w:eastAsia="仿宋" w:cs="仿宋"/>
          <w:bCs/>
          <w:kern w:val="0"/>
          <w:sz w:val="24"/>
          <w:szCs w:val="24"/>
          <w:highlight w:val="none"/>
          <w:lang w:val="en-US" w:eastAsia="zh-CN"/>
        </w:rPr>
        <w:t>2018年5月29日，县委书记邓真晓在邢塘街道刘桥社区扶贫驿站视察工作</w:t>
      </w:r>
      <w:r>
        <w:rPr>
          <w:rFonts w:hint="eastAsia" w:ascii="仿宋" w:hAnsi="仿宋" w:eastAsia="仿宋" w:cs="仿宋"/>
          <w:bCs/>
          <w:kern w:val="0"/>
          <w:sz w:val="24"/>
          <w:szCs w:val="2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00" w:lineRule="exact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00" w:lineRule="exact"/>
        <w:ind w:firstLine="723" w:firstLineChars="200"/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持续强化双基建设：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扎实推进社区基础设施建设和公共服务能力提升，改善群众生产生活方便、改善群众生活环境。五年来共落实村村间道路硬化共42条，总长度3934.4千米长、共计10571.83平方米；实施改户厕1871座、建公厕46座；2020年为293户贫困户改门窗，总投资382.72万元；对拆迁区以外的社区实行全域沟塘治理、农田水利建设，共修桥函2座、机井10眼、治理沟塘77个，总投入资金301.9万元，使贫困家庭环境、 生活条件得到改善提升，极大增强了群众获得感幸福感。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br w:type="textWrapping"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723" w:firstLineChars="200"/>
        <w:textAlignment w:val="auto"/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驻村工作队帮扶效果明显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街道仅有一个贫困村，省纪委和临泉农商银行做为帮扶单位，2014年就派员驻村工作，参与村内日常事务，履职尽责，社区干部工作作风明显改善，群众思想发生很大变化。他们积极参与项目建设，多次召开群众会充分激发村民积极性，并争取项目资金449万元硬化村级道路14条，修建桥梁2座，新建机井10眼；整合资金60万元疏通沟渠13公里，绿化面积5000平方米。协调资金300余万元对村部、村小学、村卫生室进行改建，动员群众改水改厕，极大的改善了群众的生产生活条件，丰富了村民的业余文化生活。省纪委驻村第一书记正科级纪检监察员颜亮亮先后被授予安徽省“全省优秀选派帮扶干部标兵”“省直机关五一劳动奖章”“全国模范退役军人”“安徽省属单位脱贫攻坚先进个人”等荣誉和称号，荣立三等功一次，2019年1月份当选“最美临泉人”、2020年5月当选“阜阳好人”，2020年2-7月荣登“中国好人榜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1072515</wp:posOffset>
            </wp:positionH>
            <wp:positionV relativeFrom="paragraph">
              <wp:posOffset>2412365</wp:posOffset>
            </wp:positionV>
            <wp:extent cx="2888615" cy="2167255"/>
            <wp:effectExtent l="0" t="0" r="6985" b="4445"/>
            <wp:wrapTopAndBottom/>
            <wp:docPr id="4" name="图片 4" descr="发脱贫光荣证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发脱贫光荣证 (2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8615" cy="2167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shd w:val="clear" w:color="auto" w:fill="auto"/>
          <w:lang w:val="en-US" w:eastAsia="zh-CN"/>
        </w:rPr>
        <w:t>顺利完成国家“脱贫普查”：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  <w:lang w:val="en-US" w:eastAsia="zh-CN"/>
        </w:rPr>
        <w:t>2020年6月临泉县摘顺利摘掉贫困县的帽子，7月迎来全国脱贫普查工作，按照国家脱贫普查工作安排，邢塘街道抽调业务能力好的基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  <w:lang w:val="en-US" w:eastAsia="zh-CN"/>
        </w:rPr>
        <w:t>层专干和两委干部13名、普查指导员1名，赴外地参加全国普查。2020年7月积极配合国家普查员入户，完成10个社区，1926户贫困户脱贫普查工作。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00" w:lineRule="exact"/>
        <w:ind w:right="0" w:rightChars="0"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N/>
        <w:bidi w:val="0"/>
        <w:spacing w:line="500" w:lineRule="exact"/>
        <w:jc w:val="center"/>
        <w:rPr>
          <w:rFonts w:hint="eastAsia" w:ascii="仿宋" w:hAnsi="仿宋" w:eastAsia="仿宋" w:cs="仿宋"/>
          <w:b w:val="0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4"/>
          <w:szCs w:val="24"/>
          <w:highlight w:val="none"/>
          <w:lang w:val="en-US" w:eastAsia="zh-CN" w:bidi="ar-SA"/>
        </w:rPr>
        <w:t>（图片为2020年12月14日，齐庄社区扶贫第一书记为贫困户发放脱贫光荣证）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00" w:lineRule="exact"/>
        <w:ind w:right="0" w:rightChars="0"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B4DA2"/>
    <w:rsid w:val="09613EC5"/>
    <w:rsid w:val="10FB4DA2"/>
    <w:rsid w:val="1D6248F3"/>
    <w:rsid w:val="6ADE7845"/>
    <w:rsid w:val="7B48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5" w:lineRule="auto"/>
      <w:outlineLvl w:val="1"/>
    </w:pPr>
    <w:rPr>
      <w:rFonts w:ascii="Cambria" w:hAnsi="Cambria" w:cs="宋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680"/>
    </w:pPr>
    <w:rPr>
      <w:rFonts w:ascii="等线" w:hAnsi="等线" w:eastAsia="等线" w:cs="Times New Roman"/>
      <w:szCs w:val="21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正文首行缩进 21"/>
    <w:basedOn w:val="5"/>
    <w:semiHidden/>
    <w:qFormat/>
    <w:uiPriority w:val="0"/>
    <w:pPr>
      <w:spacing w:before="100" w:beforeAutospacing="1"/>
      <w:ind w:firstLine="420" w:firstLineChars="200"/>
    </w:pPr>
    <w:rPr>
      <w:rFonts w:cs="黑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  <a:r>
              <a:rPr altLang="zh-CN"/>
              <a:t>致贫原因分析</a:t>
            </a:r>
            <a:endParaRPr altLang="zh-CN"/>
          </a:p>
        </c:rich>
      </c:tx>
      <c:layout>
        <c:manualLayout>
          <c:xMode val="edge"/>
          <c:yMode val="edge"/>
          <c:x val="0.303939325333937"/>
          <c:y val="0.0572687224669604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00459674049311"/>
          <c:y val="0.25974025974026"/>
          <c:w val="0.408552723220504"/>
          <c:h val="0.692561983471074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rgbClr val="859949"/>
            </a:solidFill>
            <a:ln w="31750">
              <a:solidFill>
                <a:schemeClr val="bg1">
                  <a:alpha val="42000"/>
                </a:schemeClr>
              </a:solidFill>
            </a:ln>
          </c:spPr>
          <c:explosion val="0"/>
          <c:dPt>
            <c:idx val="0"/>
            <c:bubble3D val="0"/>
            <c:spPr>
              <a:solidFill>
                <a:srgbClr val="365B7C"/>
              </a:solidFill>
              <a:ln w="31750">
                <a:solidFill>
                  <a:schemeClr val="bg1">
                    <a:alpha val="42000"/>
                  </a:schemeClr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966480"/>
              </a:solidFill>
              <a:ln w="31750">
                <a:solidFill>
                  <a:schemeClr val="bg1">
                    <a:alpha val="42000"/>
                  </a:schemeClr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D06F83"/>
              </a:solidFill>
              <a:ln w="31750">
                <a:solidFill>
                  <a:schemeClr val="bg1">
                    <a:alpha val="42000"/>
                  </a:schemeClr>
                </a:solidFill>
              </a:ln>
              <a:effectLst/>
            </c:spPr>
          </c:dPt>
          <c:dPt>
            <c:idx val="3"/>
            <c:bubble3D val="0"/>
            <c:spPr>
              <a:solidFill>
                <a:srgbClr val="DD5F71"/>
              </a:solidFill>
              <a:ln w="31750">
                <a:solidFill>
                  <a:schemeClr val="bg1">
                    <a:alpha val="42000"/>
                  </a:schemeClr>
                </a:solidFill>
              </a:ln>
              <a:effectLst/>
            </c:spPr>
          </c:dPt>
          <c:dLbls>
            <c:dLbl>
              <c:idx val="0"/>
              <c:layout/>
              <c:tx>
                <c:rich>
                  <a:bodyPr rot="0" spcFirstLastPara="0" vertOverflow="ellipsis" vert="horz" wrap="square" lIns="38100" tIns="19050" rIns="38100" bIns="19050" anchor="ctr" anchorCtr="1" forceAA="0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bg1"/>
                        </a:solidFill>
                        <a:latin typeface="微软雅黑" panose="020B0503020204020204" charset="-122"/>
                        <a:ea typeface="微软雅黑" panose="020B0503020204020204" charset="-122"/>
                        <a:cs typeface="微软雅黑" panose="020B0503020204020204" charset="-122"/>
                        <a:sym typeface="微软雅黑" panose="020B0503020204020204" charset="-122"/>
                      </a:defRPr>
                    </a:pPr>
                    <a:r>
                      <a:t>4</a:t>
                    </a:r>
                    <a:r>
                      <a:rPr lang="en-US" altLang="zh-CN"/>
                      <a:t>6</a:t>
                    </a:r>
                    <a:r>
                      <a:t>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tx>
                <c:rich>
                  <a:bodyPr rot="0" spcFirstLastPara="0" vertOverflow="ellipsis" vert="horz" wrap="square" lIns="38100" tIns="19050" rIns="38100" bIns="19050" anchor="ctr" anchorCtr="1" forceAA="0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bg1"/>
                        </a:solidFill>
                        <a:latin typeface="微软雅黑" panose="020B0503020204020204" charset="-122"/>
                        <a:ea typeface="微软雅黑" panose="020B0503020204020204" charset="-122"/>
                        <a:cs typeface="微软雅黑" panose="020B0503020204020204" charset="-122"/>
                        <a:sym typeface="微软雅黑" panose="020B0503020204020204" charset="-122"/>
                      </a:defRPr>
                    </a:pPr>
                    <a:r>
                      <a:t>2</a:t>
                    </a:r>
                    <a:r>
                      <a:rPr lang="en-US" altLang="zh-CN"/>
                      <a:t>9</a:t>
                    </a:r>
                    <a:r>
                      <a:t>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tx>
                <c:rich>
                  <a:bodyPr rot="0" spcFirstLastPara="0" vertOverflow="ellipsis" vert="horz" wrap="square" lIns="38100" tIns="19050" rIns="38100" bIns="19050" anchor="ctr" anchorCtr="1" forceAA="0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bg1"/>
                        </a:solidFill>
                        <a:latin typeface="微软雅黑" panose="020B0503020204020204" charset="-122"/>
                        <a:ea typeface="微软雅黑" panose="020B0503020204020204" charset="-122"/>
                        <a:cs typeface="微软雅黑" panose="020B0503020204020204" charset="-122"/>
                        <a:sym typeface="微软雅黑" panose="020B0503020204020204" charset="-122"/>
                      </a:defRPr>
                    </a:pPr>
                    <a:r>
                      <a:rPr lang="en-US" altLang="zh-CN"/>
                      <a:t>24%</a:t>
                    </a:r>
                    <a:endParaRPr lang="en-US" altLang="zh-CN"/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tx>
                <c:rich>
                  <a:bodyPr rot="0" spcFirstLastPara="0" vertOverflow="ellipsis" vert="horz" wrap="square" lIns="38100" tIns="19050" rIns="38100" bIns="19050" anchor="ctr" anchorCtr="1" forceAA="0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bg1"/>
                        </a:solidFill>
                        <a:latin typeface="微软雅黑" panose="020B0503020204020204" charset="-122"/>
                        <a:ea typeface="微软雅黑" panose="020B0503020204020204" charset="-122"/>
                        <a:cs typeface="微软雅黑" panose="020B0503020204020204" charset="-122"/>
                        <a:sym typeface="微软雅黑" panose="020B0503020204020204" charset="-122"/>
                      </a:defRPr>
                    </a:pPr>
                    <a:r>
                      <a:t>1</a:t>
                    </a:r>
                    <a:r>
                      <a:rPr lang="en-US" altLang="zh-CN"/>
                      <a:t>1</a:t>
                    </a:r>
                    <a:r>
                      <a:t>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chemeClr val="bg1"/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因病致贫</c:v>
                </c:pt>
                <c:pt idx="1">
                  <c:v>因残致贫</c:v>
                </c:pt>
                <c:pt idx="2">
                  <c:v>其他原因</c:v>
                </c:pt>
                <c:pt idx="3">
                  <c:v>缺劳力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46</c:v>
                </c:pt>
                <c:pt idx="1">
                  <c:v>29</c:v>
                </c:pt>
                <c:pt idx="2">
                  <c:v>24</c:v>
                </c:pt>
                <c:pt idx="3">
                  <c:v>11</c:v>
                </c:pt>
              </c:numCache>
            </c:numRef>
          </c:val>
        </c:ser>
        <c:ser>
          <c:idx val="1"/>
          <c:order val="1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rgbClr val="859949"/>
            </a:solidFill>
            <a:ln w="31750">
              <a:solidFill>
                <a:schemeClr val="bg1">
                  <a:alpha val="42000"/>
                </a:schemeClr>
              </a:solidFill>
            </a:ln>
          </c:spPr>
          <c:explosion val="0"/>
          <c:dPt>
            <c:idx val="0"/>
            <c:bubble3D val="0"/>
            <c:spPr>
              <a:solidFill>
                <a:srgbClr val="365B7C"/>
              </a:solidFill>
              <a:ln w="31750">
                <a:solidFill>
                  <a:schemeClr val="bg1">
                    <a:alpha val="42000"/>
                  </a:schemeClr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因病致贫</c:v>
                </c:pt>
                <c:pt idx="1">
                  <c:v>因残致贫</c:v>
                </c:pt>
                <c:pt idx="2">
                  <c:v>其他原因</c:v>
                </c:pt>
                <c:pt idx="3">
                  <c:v>缺劳力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rgbClr val="859949"/>
            </a:solidFill>
            <a:ln w="31750">
              <a:solidFill>
                <a:schemeClr val="bg1">
                  <a:alpha val="42000"/>
                </a:schemeClr>
              </a:solidFill>
            </a:ln>
          </c:spPr>
          <c:explosion val="0"/>
          <c:dPt>
            <c:idx val="0"/>
            <c:bubble3D val="0"/>
            <c:spPr>
              <a:solidFill>
                <a:srgbClr val="365B7C"/>
              </a:solidFill>
              <a:ln w="31750">
                <a:solidFill>
                  <a:schemeClr val="bg1">
                    <a:alpha val="42000"/>
                  </a:schemeClr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因病致贫</c:v>
                </c:pt>
                <c:pt idx="1">
                  <c:v>因残致贫</c:v>
                </c:pt>
                <c:pt idx="2">
                  <c:v>其他原因</c:v>
                </c:pt>
                <c:pt idx="3">
                  <c:v>缺劳力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55761829295902"/>
          <c:y val="0.848751835535977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微软雅黑" panose="020B0503020204020204" charset="-122"/>
              <a:ea typeface="微软雅黑" panose="020B0503020204020204" charset="-122"/>
              <a:cs typeface="微软雅黑" panose="020B0503020204020204" charset="-122"/>
              <a:sym typeface="微软雅黑" panose="020B0503020204020204" charset="-122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>
          <a:solidFill>
            <a:schemeClr val="tx1">
              <a:lumMod val="65000"/>
              <a:lumOff val="35000"/>
            </a:schemeClr>
          </a:solidFill>
          <a:latin typeface="微软雅黑" panose="020B0503020204020204" charset="-122"/>
          <a:ea typeface="微软雅黑" panose="020B0503020204020204" charset="-122"/>
          <a:cs typeface="微软雅黑" panose="020B0503020204020204" charset="-122"/>
          <a:sym typeface="微软雅黑" panose="020B0503020204020204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CCE8C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2021-06-25T09:31:00Z</dcterms:created>
  <dc:creator>灵动的水</dc:creator>
  <cp:lastModifiedBy>灵动的水</cp:lastModifiedBy>
  <dcterms:modified xsi:type="dcterms:W3CDTF">2021-07-28T03:21:36Z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D1115E597D844DBEB1BF6A7DE151D2A8</vt:lpwstr>
  </property>
</Properties>
</file>