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段寨村小康进程大事记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段寨村位于杨桥东南，G345国道之南。本村于2006年8月由原段寨村、王元村合并而成。</w:t>
      </w:r>
    </w:p>
    <w:p>
      <w:pPr>
        <w:spacing w:line="360" w:lineRule="auto"/>
        <w:ind w:firstLine="640" w:firstLineChars="200"/>
        <w:rPr>
          <w:rFonts w:hint="eastAsia" w:ascii="宋体" w:hAnsi="宋体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段寨村位于杨桥镇东南部，北邻S102省道，耕地面积4498.45亩，辖区14个自然村庄，户数为1416户，人口数共计5238人。现有1个党支部，4个党小组共95名党员。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近年来，我村通过</w:t>
      </w:r>
      <w:r>
        <w:rPr>
          <w:rFonts w:hint="eastAsia" w:ascii="仿宋" w:hAnsi="仿宋" w:eastAsia="仿宋" w:cs="仿宋"/>
          <w:sz w:val="32"/>
          <w:szCs w:val="32"/>
        </w:rPr>
        <w:t>贯彻落实乡村振兴战略，积极推进农村环境整治工作，村容村貌发生显著变化，人居环境状况得到极大改善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2018年11月，段寨村文化广场投入使用，给群众提供一个休闲锻炼的地方。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255895" cy="3284220"/>
            <wp:effectExtent l="0" t="0" r="1905" b="11430"/>
            <wp:docPr id="6" name="图片 6" descr="40dfb234ef9a300215a9105fb5c8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dfb234ef9a300215a9105fb5c8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我村建设完成卫生室一所，建设面积220个平方左右，村医生4名，诊断室、药房、观察室、设备齐全，周围环境整洁无污染。有效的解决了我村人民群众看病需求。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99a2b112a0051581e524d5adfba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9a2b112a0051581e524d5adfba08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2019年10月，段寨村大孙庄道路硬化，共修建9条巷道，全长1410米；道路基本全部硬化。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298450</wp:posOffset>
            </wp:positionV>
            <wp:extent cx="5197475" cy="2967990"/>
            <wp:effectExtent l="0" t="0" r="3175" b="60960"/>
            <wp:wrapTight wrapText="bothSides">
              <wp:wrapPolygon>
                <wp:start x="0" y="0"/>
                <wp:lineTo x="0" y="21489"/>
                <wp:lineTo x="21534" y="21489"/>
                <wp:lineTo x="21534" y="0"/>
                <wp:lineTo x="0" y="0"/>
              </wp:wrapPolygon>
            </wp:wrapTight>
            <wp:docPr id="2" name="图片 2" descr="1.1.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1.1.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303520" cy="3585210"/>
            <wp:effectExtent l="0" t="0" r="11430" b="15240"/>
            <wp:docPr id="5" name="图片 5" descr=".2.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2.2.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2020年11月份，我村109户245人贫困人口实现全面脱贫。提高了群众生活质量，“两不愁、三保障”全面实现。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5203825"/>
            <wp:effectExtent l="0" t="0" r="10160" b="15875"/>
            <wp:docPr id="8" name="图片 8" descr="471d5c509bd5abcdfe45ee50cdb9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71d5c509bd5abcdfe45ee50cdb9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2021年3月，段寨村14个自然村全部通广播。12个自然村共安装喇叭12个.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626735" cy="4311015"/>
            <wp:effectExtent l="0" t="0" r="12065" b="13335"/>
            <wp:docPr id="3" name="图片 3" descr="8cd85b541967d876a9399ef953e4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d85b541967d876a9399ef953e4e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2021年6月段寨村14个自然村，全面安装摄像头共48个</w:t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3968750"/>
            <wp:effectExtent l="0" t="0" r="1905" b="12700"/>
            <wp:docPr id="4" name="图片 4" descr="29e9d88963a99218b62910c82a4d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9e9d88963a99218b62910c82a4d88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1CA0"/>
    <w:rsid w:val="002856B8"/>
    <w:rsid w:val="01B2780F"/>
    <w:rsid w:val="02EB254D"/>
    <w:rsid w:val="06021AAB"/>
    <w:rsid w:val="0A2724B0"/>
    <w:rsid w:val="0CC52B7A"/>
    <w:rsid w:val="0D703A6E"/>
    <w:rsid w:val="0E327521"/>
    <w:rsid w:val="12D67A7B"/>
    <w:rsid w:val="14E77C8A"/>
    <w:rsid w:val="168439D9"/>
    <w:rsid w:val="16C550F9"/>
    <w:rsid w:val="1C274BAA"/>
    <w:rsid w:val="1EEA5B7C"/>
    <w:rsid w:val="207E1C35"/>
    <w:rsid w:val="209231D8"/>
    <w:rsid w:val="274A3D2F"/>
    <w:rsid w:val="2C9B241D"/>
    <w:rsid w:val="2FC01180"/>
    <w:rsid w:val="32F75CC8"/>
    <w:rsid w:val="33CD21A4"/>
    <w:rsid w:val="375C6D11"/>
    <w:rsid w:val="3CFA3223"/>
    <w:rsid w:val="3F704541"/>
    <w:rsid w:val="3F801CA0"/>
    <w:rsid w:val="44F20ABE"/>
    <w:rsid w:val="467052D1"/>
    <w:rsid w:val="4BAD23F3"/>
    <w:rsid w:val="4FC20740"/>
    <w:rsid w:val="501D6717"/>
    <w:rsid w:val="61543DDB"/>
    <w:rsid w:val="64325E93"/>
    <w:rsid w:val="64ED626A"/>
    <w:rsid w:val="66637884"/>
    <w:rsid w:val="68560B83"/>
    <w:rsid w:val="6C4E253C"/>
    <w:rsid w:val="70150149"/>
    <w:rsid w:val="714B27BE"/>
    <w:rsid w:val="760F2FB1"/>
    <w:rsid w:val="76F84EAF"/>
    <w:rsid w:val="79C410C8"/>
    <w:rsid w:val="7B65174F"/>
    <w:rsid w:val="7BEA2E7B"/>
    <w:rsid w:val="7D8E3415"/>
    <w:rsid w:val="7E7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2021-07-28T01:59:00Z</dcterms:created>
  <dc:creator>admin1</dc:creator>
  <cp:lastModifiedBy>Administrator</cp:lastModifiedBy>
  <dcterms:modified xsi:type="dcterms:W3CDTF">2021-07-29T01:24:35Z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64E592A3FBD1478E8961782F28120796</vt:lpwstr>
  </property>
</Properties>
</file>