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sz w:val="36"/>
          <w:szCs w:val="36"/>
          <w:lang w:val="en-US" w:eastAsia="zh-CN"/>
        </w:rPr>
      </w:pPr>
      <w:r>
        <w:rPr>
          <w:rFonts w:hint="eastAsia" w:ascii="隶书" w:hAnsi="隶书" w:eastAsia="隶书" w:cs="隶书"/>
          <w:sz w:val="36"/>
          <w:szCs w:val="36"/>
          <w:lang w:val="en-US" w:eastAsia="zh-CN"/>
        </w:rPr>
        <w:t>长官镇前郭村全面建成小康社会大事记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合村：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2006年8月由后郭行政村、卞庄行政村、大田行政村3个行政村共16个自然村合并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成前郭行政村。</w:t>
      </w:r>
    </w:p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通广播：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2021年前郭村全村通广播。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544445" cy="3393440"/>
            <wp:effectExtent l="0" t="0" r="8255" b="16510"/>
            <wp:docPr id="1" name="图片 1" descr="f77b70332837b6905546f7bbe1dd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7b70332837b6905546f7bbe1dda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552700" cy="3403600"/>
            <wp:effectExtent l="0" t="0" r="0" b="6350"/>
            <wp:docPr id="2" name="图片 2" descr="7a01d2c855560e140bf033148b00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01d2c855560e140bf033148b009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通硬化路：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2018年前郭村全部通硬化路。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通乡城公交：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2019年通城乡公交临泉-高塘路线。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开始亮化：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2018年前郭村开始亮化，2019年大杨楼、后楼自然村完成亮化。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拆除危房：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2018年前郭村全面拆除危房。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实现医疗：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2010年前郭村实现全面覆盖医疗保险。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养老覆盖：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2012年前郭村实现全面覆盖养老保险。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建设文化广场: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2018年开始建设并完成文化广场。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85105" cy="3964305"/>
            <wp:effectExtent l="0" t="0" r="10795" b="17145"/>
            <wp:docPr id="3" name="图片 3" descr="656d2a13c310ae38c0786c591f8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6d2a13c310ae38c0786c591f873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C58B3"/>
    <w:rsid w:val="53BD2E70"/>
    <w:rsid w:val="6142436F"/>
    <w:rsid w:val="73FC58B3"/>
    <w:rsid w:val="78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2021-07-28T00:16:00Z</dcterms:created>
  <dc:creator>¿¿¿</dc:creator>
  <cp:lastModifiedBy>pc01</cp:lastModifiedBy>
  <dcterms:modified xsi:type="dcterms:W3CDTF">2021-07-29T08:59:17Z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41C1DFA7A2B8479B911081DD5FB5EE14</vt:lpwstr>
  </property>
</Properties>
</file>